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24-25 GCJH Boys Basketball Team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Thank you to those who have tried out.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CONGRATS to those below who have made the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final roster. PRACTICE begins 10/31/24 at 4:00pm.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Addison, 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Battle, J.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Canon, J.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Cox, H.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Davis, L.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Day, I.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Dorman, C.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Gallagher, B.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Gardner, G.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Hollingsworth, M.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Moses, R.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Perez, J.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Rapoza, W.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Spratley, A.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White, X. (IR)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Williams, D.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Tillery, J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